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Методические рекомендации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размещению в медицинских организациях,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оказывающих первичную медико-санитарную помощь,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 также на сайтах этих организаций QR-кода,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содержащего ссылку на онлайн-опрос населения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вопросам записи на прием к врачу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</w:p>
    <w:p w14:paraId="09000000">
      <w:pPr>
        <w:ind w:firstLine="850"/>
        <w:jc w:val="both"/>
        <w:rPr>
          <w:sz w:val="28"/>
        </w:rPr>
      </w:pPr>
      <w:r>
        <w:rPr>
          <w:sz w:val="28"/>
        </w:rPr>
        <w:t>Главному врачу медицинской организации обеспечить печать содержащих QR-код плакатов в цвете и их размещение: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>– на стене при входной группе в поликлиники, фельдшерско-акушерские пункты, подразделения общей врачебной практики, врачебные амбулатории и другие обособленные структурные подразделения медицинской организации;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– на стендах в холле поликлинических отделений;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>– возле регистратур и инфоматов;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>– на этажах многоэтажных поликлинических отделений (минимум один плакат на этаж).</w:t>
      </w:r>
    </w:p>
    <w:p w14:paraId="0E000000">
      <w:pPr>
        <w:ind w:firstLine="850"/>
        <w:jc w:val="both"/>
        <w:rPr>
          <w:sz w:val="28"/>
        </w:rPr>
      </w:pPr>
      <w:r>
        <w:rPr>
          <w:sz w:val="28"/>
        </w:rPr>
        <w:t>При размещении плакатов следует руководствоваться следующими принципами: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>– плакаты должны быть размещены на специальном стенде и или на стене на уровне глаз человека таким образом, чтобы проход к ним был свободным;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>– для размещения плакатов на этажах следует выбирать места, где чаще всего скапливается живая очередь или прослеживается наибольшая проходимость пациентского потока;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>– при размещении необходимо, чтобы плакат воспринимался зрителем без искажения (например, из-за ламинированной поверхности), а QR-код мог считываться без помех;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– при печати важно обращать внимание на недопустимость искажения цветопередачи, пропорций и других параметров плаката, в целях сохранения его оптимального вида;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– следует регулярно контролировать состояние размещенных материалов и своевременно обновлять их или поправлять в случае повреждения или затруднения доступа к ним.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2022-09-30T06:22:35Z</dcterms:modified>
</cp:coreProperties>
</file>